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EE3CC95" w:rsidR="007D3511" w:rsidRPr="0044682E" w:rsidRDefault="003E6FB8" w:rsidP="00C62B8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44682E">
        <w:rPr>
          <w:rFonts w:cs="Arial"/>
          <w:b/>
          <w:bCs/>
          <w:sz w:val="28"/>
        </w:rPr>
        <w:t xml:space="preserve">NOTICE </w:t>
      </w:r>
      <w:r w:rsidR="00336662">
        <w:rPr>
          <w:rFonts w:cs="Arial"/>
          <w:b/>
          <w:bCs/>
          <w:sz w:val="28"/>
        </w:rPr>
        <w:t xml:space="preserve">TO DEFENDANT </w:t>
      </w:r>
      <w:r w:rsidRPr="0044682E">
        <w:rPr>
          <w:rFonts w:cs="Arial"/>
          <w:b/>
          <w:bCs/>
          <w:sz w:val="28"/>
        </w:rPr>
        <w:t xml:space="preserve">OF </w:t>
      </w:r>
      <w:r w:rsidR="001C1FF9" w:rsidRPr="0044682E">
        <w:rPr>
          <w:rFonts w:cs="Arial"/>
          <w:b/>
          <w:bCs/>
          <w:sz w:val="28"/>
        </w:rPr>
        <w:t>PENALTY HEARING</w:t>
      </w:r>
    </w:p>
    <w:p w14:paraId="78B1FBC6" w14:textId="0B4836FA" w:rsidR="00C62B87" w:rsidRPr="0044682E" w:rsidRDefault="00C62B8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bookmarkStart w:id="0" w:name="_Hlk52451656"/>
      <w:r w:rsidRPr="0044682E">
        <w:rPr>
          <w:rFonts w:cs="Arial"/>
          <w:b/>
          <w:bCs/>
        </w:rPr>
        <w:t xml:space="preserve">Criminal Procedure Act 1921 </w:t>
      </w:r>
      <w:r w:rsidR="00D946C1">
        <w:rPr>
          <w:rFonts w:cs="Arial"/>
          <w:b/>
          <w:bCs/>
        </w:rPr>
        <w:t>s</w:t>
      </w:r>
      <w:r w:rsidR="00D946C1" w:rsidRPr="0044682E">
        <w:rPr>
          <w:rFonts w:cs="Arial"/>
          <w:b/>
          <w:bCs/>
        </w:rPr>
        <w:t xml:space="preserve"> </w:t>
      </w:r>
      <w:r w:rsidRPr="0044682E">
        <w:rPr>
          <w:rFonts w:cs="Arial"/>
          <w:b/>
          <w:bCs/>
        </w:rPr>
        <w:t>27C(3)</w:t>
      </w:r>
    </w:p>
    <w:bookmarkEnd w:id="0"/>
    <w:p w14:paraId="6DC42FB6" w14:textId="77777777" w:rsidR="00217822" w:rsidRPr="0044682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19825537" w:rsidR="00DC7ECD" w:rsidRPr="0044682E" w:rsidRDefault="003D17E8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44682E">
        <w:rPr>
          <w:rFonts w:cs="Arial"/>
          <w:iCs/>
        </w:rPr>
        <w:t>[</w:t>
      </w:r>
      <w:r w:rsidR="00194150" w:rsidRPr="0044682E">
        <w:rPr>
          <w:rFonts w:cs="Arial"/>
          <w:i/>
          <w:iCs/>
        </w:rPr>
        <w:t>MAGISTRATES</w:t>
      </w:r>
      <w:r w:rsidRPr="0044682E">
        <w:rPr>
          <w:rFonts w:cs="Arial"/>
          <w:i/>
          <w:iCs/>
        </w:rPr>
        <w:t>/YOUTH</w:t>
      </w:r>
      <w:r w:rsidR="0047724D" w:rsidRPr="0044682E">
        <w:rPr>
          <w:rFonts w:cs="Arial"/>
          <w:i/>
          <w:iCs/>
        </w:rPr>
        <w:t>/ENVIRONMENT RESOURCES AND DEVELOPMENT</w:t>
      </w:r>
      <w:r w:rsidRPr="0044682E">
        <w:rPr>
          <w:rFonts w:cs="Arial"/>
          <w:iCs/>
        </w:rPr>
        <w:t>]</w:t>
      </w:r>
      <w:r w:rsidR="00DC7ECD" w:rsidRPr="0044682E">
        <w:rPr>
          <w:rFonts w:cs="Arial"/>
          <w:b/>
          <w:sz w:val="12"/>
        </w:rPr>
        <w:t xml:space="preserve"> </w:t>
      </w:r>
      <w:r w:rsidR="00D946C1">
        <w:rPr>
          <w:rFonts w:cs="Arial"/>
          <w:b/>
          <w:sz w:val="12"/>
        </w:rPr>
        <w:t>Select</w:t>
      </w:r>
      <w:r w:rsidRPr="0044682E">
        <w:rPr>
          <w:rFonts w:cs="Arial"/>
          <w:b/>
          <w:sz w:val="12"/>
        </w:rPr>
        <w:t xml:space="preserve"> one </w:t>
      </w:r>
      <w:r w:rsidR="00DC7ECD" w:rsidRPr="0044682E">
        <w:rPr>
          <w:rFonts w:cs="Arial"/>
          <w:iCs/>
        </w:rPr>
        <w:t xml:space="preserve">COURT </w:t>
      </w:r>
      <w:r w:rsidR="00DC7ECD" w:rsidRPr="0044682E">
        <w:rPr>
          <w:rFonts w:cs="Arial"/>
          <w:bCs/>
        </w:rPr>
        <w:t xml:space="preserve">OF SOUTH AUSTRALIA </w:t>
      </w:r>
    </w:p>
    <w:p w14:paraId="56B8AA64" w14:textId="43C1258D" w:rsidR="00CD2E58" w:rsidRPr="0044682E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4682E">
        <w:rPr>
          <w:rFonts w:cs="Arial"/>
          <w:iCs/>
        </w:rPr>
        <w:t>C</w:t>
      </w:r>
      <w:r w:rsidR="006250A1" w:rsidRPr="0044682E">
        <w:rPr>
          <w:rFonts w:cs="Arial"/>
          <w:iCs/>
        </w:rPr>
        <w:t>RIMINAL</w:t>
      </w:r>
      <w:r w:rsidRPr="0044682E">
        <w:rPr>
          <w:rFonts w:cs="Arial"/>
          <w:iCs/>
        </w:rPr>
        <w:t xml:space="preserve"> JURISDICTION</w:t>
      </w:r>
      <w:bookmarkEnd w:id="1"/>
    </w:p>
    <w:p w14:paraId="65584CDC" w14:textId="1B71D65F" w:rsidR="000C63A8" w:rsidRPr="006053E5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6053E5">
        <w:rPr>
          <w:rFonts w:cs="Arial"/>
          <w:b/>
          <w:bCs/>
        </w:rPr>
        <w:t>[</w:t>
      </w:r>
      <w:r w:rsidR="00271601" w:rsidRPr="006053E5">
        <w:rPr>
          <w:rFonts w:cs="Arial"/>
          <w:b/>
          <w:bCs/>
          <w:i/>
        </w:rPr>
        <w:t xml:space="preserve">FULL </w:t>
      </w:r>
      <w:r w:rsidRPr="006053E5">
        <w:rPr>
          <w:rFonts w:cs="Arial"/>
          <w:b/>
          <w:bCs/>
          <w:i/>
        </w:rPr>
        <w:t>NAME</w:t>
      </w:r>
      <w:r w:rsidR="00F956A2" w:rsidRPr="006053E5">
        <w:rPr>
          <w:rFonts w:cs="Arial"/>
          <w:b/>
          <w:bCs/>
        </w:rPr>
        <w:t>]</w:t>
      </w:r>
    </w:p>
    <w:p w14:paraId="07897FAC" w14:textId="24A06DE2" w:rsidR="000C63A8" w:rsidRPr="006053E5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053E5">
        <w:rPr>
          <w:rFonts w:cs="Arial"/>
          <w:b/>
          <w:bCs/>
        </w:rPr>
        <w:t>Informant</w:t>
      </w:r>
    </w:p>
    <w:p w14:paraId="07B918BD" w14:textId="62F6AEC6" w:rsidR="00271601" w:rsidRPr="006053E5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053E5">
        <w:rPr>
          <w:rFonts w:cs="Arial"/>
          <w:b/>
          <w:bCs/>
        </w:rPr>
        <w:t>v</w:t>
      </w:r>
    </w:p>
    <w:p w14:paraId="0DE99CB8" w14:textId="3ADB49E4" w:rsidR="00A648B8" w:rsidRPr="006053E5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6053E5">
        <w:rPr>
          <w:rFonts w:cs="Arial"/>
          <w:b/>
        </w:rPr>
        <w:t>[</w:t>
      </w:r>
      <w:r w:rsidR="00271601" w:rsidRPr="006053E5">
        <w:rPr>
          <w:rFonts w:cs="Arial"/>
          <w:b/>
          <w:i/>
        </w:rPr>
        <w:t xml:space="preserve">FULL </w:t>
      </w:r>
      <w:r w:rsidRPr="006053E5">
        <w:rPr>
          <w:rFonts w:cs="Arial"/>
          <w:b/>
          <w:i/>
          <w:iCs/>
        </w:rPr>
        <w:t>NAME</w:t>
      </w:r>
      <w:r w:rsidRPr="006053E5">
        <w:rPr>
          <w:rFonts w:cs="Arial"/>
          <w:b/>
        </w:rPr>
        <w:t>]</w:t>
      </w:r>
    </w:p>
    <w:p w14:paraId="2A50A2B5" w14:textId="39B1DB34" w:rsidR="00A648B8" w:rsidRPr="006053E5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053E5">
        <w:rPr>
          <w:rFonts w:cs="Arial"/>
          <w:b/>
          <w:bCs/>
        </w:rPr>
        <w:t>Defendant</w:t>
      </w:r>
      <w:r w:rsidR="003D17E8" w:rsidRPr="006053E5">
        <w:rPr>
          <w:rFonts w:cs="Arial"/>
          <w:b/>
          <w:bCs/>
        </w:rPr>
        <w:t>/Youth</w:t>
      </w:r>
    </w:p>
    <w:p w14:paraId="5D9442E3" w14:textId="4948DFA6" w:rsidR="004860C8" w:rsidRPr="0044682E" w:rsidRDefault="004860C8" w:rsidP="001C1FF9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D298A" w:rsidRPr="0044682E" w14:paraId="4AE25B99" w14:textId="77777777" w:rsidTr="0034062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FAF" w14:textId="77777777" w:rsidR="008D298A" w:rsidRPr="0044682E" w:rsidRDefault="008D298A" w:rsidP="00693707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44682E">
              <w:rPr>
                <w:rFonts w:cs="Arial"/>
                <w:b/>
              </w:rPr>
              <w:t>To the Parties</w:t>
            </w:r>
          </w:p>
          <w:p w14:paraId="11FDA652" w14:textId="77777777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 w:rsidRPr="0044682E">
              <w:rPr>
                <w:rFonts w:cs="Arial"/>
                <w:color w:val="000000" w:themeColor="text1"/>
              </w:rPr>
              <w:t xml:space="preserve">There will be a hearing at the date and time set out </w:t>
            </w:r>
            <w:r w:rsidRPr="0044682E">
              <w:rPr>
                <w:rFonts w:cs="Arial"/>
              </w:rPr>
              <w:t>at the top of this Form</w:t>
            </w:r>
            <w:r w:rsidRPr="0044682E">
              <w:rPr>
                <w:rFonts w:cs="Arial"/>
                <w:color w:val="000000" w:themeColor="text1"/>
              </w:rPr>
              <w:t>. If there is no attendance by or on behalf of a party, the Court may proceed to make orders without further warning.</w:t>
            </w:r>
          </w:p>
        </w:tc>
      </w:tr>
    </w:tbl>
    <w:p w14:paraId="0BB8B79A" w14:textId="68E0E52E" w:rsidR="008D298A" w:rsidRPr="0044682E" w:rsidRDefault="008D298A" w:rsidP="00693707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D298A" w:rsidRPr="0044682E" w14:paraId="41A61A74" w14:textId="77777777" w:rsidTr="00340623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1D2" w14:textId="37A8ABE2" w:rsidR="008D298A" w:rsidRPr="0044682E" w:rsidRDefault="008D298A" w:rsidP="00693707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44682E">
              <w:rPr>
                <w:rFonts w:cs="Arial"/>
                <w:b/>
              </w:rPr>
              <w:t xml:space="preserve">To </w:t>
            </w:r>
            <w:r w:rsidR="00EE4987" w:rsidRPr="0044682E">
              <w:rPr>
                <w:rFonts w:cs="Arial"/>
                <w:b/>
              </w:rPr>
              <w:t>[</w:t>
            </w:r>
            <w:r w:rsidRPr="0044682E">
              <w:rPr>
                <w:rFonts w:cs="Arial"/>
                <w:b/>
                <w:i/>
                <w:iCs/>
              </w:rPr>
              <w:t>th</w:t>
            </w:r>
            <w:r w:rsidR="00EE4987" w:rsidRPr="0044682E">
              <w:rPr>
                <w:rFonts w:cs="Arial"/>
                <w:b/>
                <w:i/>
                <w:iCs/>
              </w:rPr>
              <w:t>e</w:t>
            </w:r>
            <w:r w:rsidR="00EE4987" w:rsidRPr="0044682E">
              <w:rPr>
                <w:rFonts w:cs="Arial"/>
                <w:b/>
              </w:rPr>
              <w:t>]</w:t>
            </w:r>
            <w:r w:rsidRPr="0044682E">
              <w:rPr>
                <w:rFonts w:cs="Arial"/>
                <w:b/>
                <w:i/>
              </w:rPr>
              <w:t xml:space="preserve"> </w:t>
            </w:r>
            <w:r w:rsidR="00E63334" w:rsidRPr="0044682E">
              <w:rPr>
                <w:rFonts w:cs="Arial"/>
                <w:b/>
                <w:i/>
              </w:rPr>
              <w:t>[</w:t>
            </w:r>
            <w:r w:rsidRPr="0044682E">
              <w:rPr>
                <w:rFonts w:cs="Arial"/>
                <w:b/>
                <w:i/>
              </w:rPr>
              <w:t>Defendant</w:t>
            </w:r>
            <w:r w:rsidR="00E63334" w:rsidRPr="0044682E">
              <w:rPr>
                <w:rFonts w:cs="Arial"/>
                <w:b/>
                <w:i/>
              </w:rPr>
              <w:t>/Youth</w:t>
            </w:r>
            <w:r w:rsidR="00E63334" w:rsidRPr="0044682E">
              <w:rPr>
                <w:rFonts w:cs="Arial"/>
                <w:b/>
              </w:rPr>
              <w:t>]</w:t>
            </w:r>
            <w:r w:rsidR="00EE4987" w:rsidRPr="0044682E">
              <w:rPr>
                <w:rFonts w:cs="Arial"/>
                <w:b/>
              </w:rPr>
              <w:t xml:space="preserve"> [</w:t>
            </w:r>
            <w:r w:rsidR="00EE4987" w:rsidRPr="0044682E">
              <w:rPr>
                <w:rFonts w:cs="Arial"/>
                <w:b/>
                <w:i/>
              </w:rPr>
              <w:t>number</w:t>
            </w:r>
            <w:r w:rsidR="00EE4987" w:rsidRPr="0044682E">
              <w:rPr>
                <w:rFonts w:cs="Arial"/>
                <w:b/>
              </w:rPr>
              <w:t xml:space="preserve">] </w:t>
            </w:r>
            <w:r w:rsidRPr="0044682E">
              <w:rPr>
                <w:rFonts w:cs="Arial"/>
                <w:b/>
                <w:iCs/>
              </w:rPr>
              <w:t>[</w:t>
            </w:r>
            <w:r w:rsidRPr="0044682E">
              <w:rPr>
                <w:rFonts w:cs="Arial"/>
                <w:b/>
                <w:i/>
                <w:iCs/>
              </w:rPr>
              <w:t>name</w:t>
            </w:r>
            <w:r w:rsidRPr="0044682E">
              <w:rPr>
                <w:rFonts w:cs="Arial"/>
                <w:b/>
                <w:iCs/>
              </w:rPr>
              <w:t>]</w:t>
            </w:r>
            <w:r w:rsidRPr="0044682E">
              <w:rPr>
                <w:rFonts w:cs="Arial"/>
                <w:b/>
              </w:rPr>
              <w:t>: WARNING</w:t>
            </w:r>
          </w:p>
          <w:p w14:paraId="0E83A69B" w14:textId="77777777" w:rsidR="008D298A" w:rsidRPr="0044682E" w:rsidRDefault="008D298A" w:rsidP="00693707">
            <w:pPr>
              <w:spacing w:line="276" w:lineRule="auto"/>
              <w:jc w:val="left"/>
              <w:rPr>
                <w:rFonts w:cs="Arial"/>
                <w:szCs w:val="24"/>
              </w:rPr>
            </w:pPr>
            <w:r w:rsidRPr="0044682E">
              <w:rPr>
                <w:rFonts w:cs="Arial"/>
                <w:b/>
                <w:szCs w:val="24"/>
              </w:rPr>
              <w:t xml:space="preserve">You have been convicted in your absence </w:t>
            </w:r>
            <w:r w:rsidRPr="0044682E">
              <w:rPr>
                <w:rFonts w:cs="Arial"/>
                <w:szCs w:val="24"/>
              </w:rPr>
              <w:t>of</w:t>
            </w:r>
          </w:p>
          <w:p w14:paraId="6B9B4FCA" w14:textId="49EA892A" w:rsidR="008D298A" w:rsidRPr="0044682E" w:rsidRDefault="008D298A" w:rsidP="0069370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left"/>
              <w:rPr>
                <w:rFonts w:cs="Arial"/>
                <w:szCs w:val="24"/>
              </w:rPr>
            </w:pPr>
            <w:r w:rsidRPr="0044682E">
              <w:rPr>
                <w:rFonts w:cs="Arial"/>
                <w:szCs w:val="24"/>
              </w:rPr>
              <w:t xml:space="preserve">the charge in the </w:t>
            </w:r>
            <w:r w:rsidR="00724D48">
              <w:rPr>
                <w:rFonts w:cs="Arial"/>
                <w:szCs w:val="24"/>
              </w:rPr>
              <w:t>I</w:t>
            </w:r>
            <w:r w:rsidRPr="0044682E">
              <w:rPr>
                <w:rFonts w:cs="Arial"/>
                <w:szCs w:val="24"/>
              </w:rPr>
              <w:t xml:space="preserve">nformation dated </w:t>
            </w:r>
            <w:r w:rsidRPr="0044682E">
              <w:rPr>
                <w:rFonts w:cs="Arial"/>
                <w:iCs/>
              </w:rPr>
              <w:t>[</w:t>
            </w:r>
            <w:r w:rsidRPr="0044682E">
              <w:rPr>
                <w:rFonts w:cs="Arial"/>
                <w:i/>
                <w:iCs/>
              </w:rPr>
              <w:t>date</w:t>
            </w:r>
            <w:r w:rsidRPr="0044682E">
              <w:rPr>
                <w:rFonts w:cs="Arial"/>
                <w:iCs/>
              </w:rPr>
              <w:t>]</w:t>
            </w:r>
            <w:r w:rsidRPr="0044682E">
              <w:rPr>
                <w:rFonts w:cs="Arial"/>
              </w:rPr>
              <w:t>.</w:t>
            </w:r>
          </w:p>
          <w:p w14:paraId="4050DD29" w14:textId="30578C8C" w:rsidR="008D298A" w:rsidRPr="0044682E" w:rsidRDefault="008D298A" w:rsidP="00693707">
            <w:pPr>
              <w:pStyle w:val="ListParagraph"/>
              <w:numPr>
                <w:ilvl w:val="0"/>
                <w:numId w:val="27"/>
              </w:numPr>
              <w:spacing w:line="276" w:lineRule="auto"/>
              <w:jc w:val="left"/>
              <w:rPr>
                <w:rFonts w:cs="Arial"/>
                <w:szCs w:val="24"/>
              </w:rPr>
            </w:pPr>
            <w:r w:rsidRPr="0044682E">
              <w:rPr>
                <w:rFonts w:cs="Arial"/>
                <w:szCs w:val="24"/>
              </w:rPr>
              <w:t xml:space="preserve">all of the charges in the </w:t>
            </w:r>
            <w:r w:rsidR="00724D48">
              <w:rPr>
                <w:rFonts w:cs="Arial"/>
                <w:szCs w:val="24"/>
              </w:rPr>
              <w:t>I</w:t>
            </w:r>
            <w:r w:rsidRPr="0044682E">
              <w:rPr>
                <w:rFonts w:cs="Arial"/>
                <w:szCs w:val="24"/>
              </w:rPr>
              <w:t xml:space="preserve">nformation dated </w:t>
            </w:r>
            <w:r w:rsidRPr="0044682E">
              <w:rPr>
                <w:rFonts w:cs="Arial"/>
                <w:iCs/>
              </w:rPr>
              <w:t>[</w:t>
            </w:r>
            <w:r w:rsidRPr="0044682E">
              <w:rPr>
                <w:rFonts w:cs="Arial"/>
                <w:i/>
                <w:iCs/>
              </w:rPr>
              <w:t>date</w:t>
            </w:r>
            <w:r w:rsidRPr="0044682E">
              <w:rPr>
                <w:rFonts w:cs="Arial"/>
                <w:iCs/>
              </w:rPr>
              <w:t>]</w:t>
            </w:r>
            <w:r w:rsidRPr="0044682E">
              <w:rPr>
                <w:rFonts w:cs="Arial"/>
              </w:rPr>
              <w:t>.</w:t>
            </w:r>
          </w:p>
          <w:p w14:paraId="79415392" w14:textId="060B5FD3" w:rsidR="008D298A" w:rsidRPr="0044682E" w:rsidRDefault="008D298A" w:rsidP="00693707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left"/>
              <w:rPr>
                <w:rFonts w:cs="Arial"/>
                <w:szCs w:val="24"/>
              </w:rPr>
            </w:pPr>
            <w:r w:rsidRPr="0044682E">
              <w:rPr>
                <w:rFonts w:cs="Arial"/>
                <w:szCs w:val="24"/>
              </w:rPr>
              <w:t>counts[</w:t>
            </w:r>
            <w:r w:rsidRPr="0044682E">
              <w:rPr>
                <w:rFonts w:cs="Arial"/>
                <w:i/>
                <w:szCs w:val="24"/>
              </w:rPr>
              <w:t>s</w:t>
            </w:r>
            <w:r w:rsidRPr="0044682E">
              <w:rPr>
                <w:rFonts w:cs="Arial"/>
                <w:szCs w:val="24"/>
              </w:rPr>
              <w:t>] [</w:t>
            </w:r>
            <w:r w:rsidRPr="0044682E">
              <w:rPr>
                <w:rFonts w:cs="Arial"/>
                <w:i/>
                <w:szCs w:val="24"/>
              </w:rPr>
              <w:t>number(s)</w:t>
            </w:r>
            <w:r w:rsidRPr="0044682E">
              <w:rPr>
                <w:rFonts w:cs="Arial"/>
                <w:szCs w:val="24"/>
              </w:rPr>
              <w:t xml:space="preserve">] in the </w:t>
            </w:r>
            <w:r w:rsidR="00724D48">
              <w:rPr>
                <w:rFonts w:cs="Arial"/>
                <w:szCs w:val="24"/>
              </w:rPr>
              <w:t>I</w:t>
            </w:r>
            <w:r w:rsidRPr="0044682E">
              <w:rPr>
                <w:rFonts w:cs="Arial"/>
                <w:szCs w:val="24"/>
              </w:rPr>
              <w:t xml:space="preserve">nformation dated </w:t>
            </w:r>
            <w:r w:rsidRPr="0044682E">
              <w:rPr>
                <w:rFonts w:cs="Arial"/>
                <w:iCs/>
              </w:rPr>
              <w:t>[</w:t>
            </w:r>
            <w:r w:rsidRPr="0044682E">
              <w:rPr>
                <w:rFonts w:cs="Arial"/>
                <w:i/>
                <w:iCs/>
              </w:rPr>
              <w:t>date</w:t>
            </w:r>
            <w:r w:rsidRPr="0044682E">
              <w:rPr>
                <w:rFonts w:cs="Arial"/>
                <w:iCs/>
              </w:rPr>
              <w:t>]</w:t>
            </w:r>
            <w:r w:rsidRPr="0044682E">
              <w:rPr>
                <w:rFonts w:cs="Arial"/>
              </w:rPr>
              <w:t>.</w:t>
            </w:r>
          </w:p>
          <w:p w14:paraId="1791659F" w14:textId="77777777" w:rsidR="00647BBB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>This matter has been adjourned for a hearing at the date, time and location at the top of this Form</w:t>
            </w:r>
            <w:r w:rsidR="00647BBB">
              <w:rPr>
                <w:rFonts w:cs="Arial"/>
              </w:rPr>
              <w:t>.</w:t>
            </w:r>
          </w:p>
          <w:p w14:paraId="370BE9FE" w14:textId="22910837" w:rsidR="00DE43C9" w:rsidRDefault="00647BBB" w:rsidP="00693707">
            <w:pPr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The matter has been adjourned</w:t>
            </w:r>
            <w:r w:rsidR="00F46E16">
              <w:rPr>
                <w:rFonts w:cs="Arial"/>
              </w:rPr>
              <w:t xml:space="preserve"> </w:t>
            </w:r>
            <w:r w:rsidR="00DE43C9">
              <w:rPr>
                <w:rFonts w:cs="Arial"/>
              </w:rPr>
              <w:t>for the purpose of the Court</w:t>
            </w:r>
            <w:r w:rsidR="00DE43C9" w:rsidRPr="0044682E">
              <w:rPr>
                <w:rFonts w:cs="Arial"/>
              </w:rPr>
              <w:t xml:space="preserve"> </w:t>
            </w:r>
            <w:r w:rsidR="008D298A" w:rsidRPr="0044682E">
              <w:rPr>
                <w:rFonts w:cs="Arial"/>
              </w:rPr>
              <w:t>consider</w:t>
            </w:r>
            <w:r w:rsidR="00DE43C9">
              <w:rPr>
                <w:rFonts w:cs="Arial"/>
              </w:rPr>
              <w:t>ing</w:t>
            </w:r>
            <w:r w:rsidR="008D298A" w:rsidRPr="0044682E">
              <w:rPr>
                <w:rFonts w:cs="Arial"/>
              </w:rPr>
              <w:t xml:space="preserve"> </w:t>
            </w:r>
            <w:r w:rsidR="00EE56F5">
              <w:rPr>
                <w:rFonts w:cs="Arial"/>
              </w:rPr>
              <w:t xml:space="preserve">any application by you to set aside the conviction (see important notice below) and determining </w:t>
            </w:r>
            <w:r w:rsidR="008D298A" w:rsidRPr="0044682E">
              <w:rPr>
                <w:rFonts w:cs="Arial"/>
              </w:rPr>
              <w:t>the appropriate penalty or penalties for the conviction[</w:t>
            </w:r>
            <w:r w:rsidR="008D298A" w:rsidRPr="0044682E">
              <w:rPr>
                <w:rFonts w:cs="Arial"/>
                <w:i/>
              </w:rPr>
              <w:t>s</w:t>
            </w:r>
            <w:r w:rsidR="008D298A" w:rsidRPr="0044682E">
              <w:rPr>
                <w:rFonts w:cs="Arial"/>
              </w:rPr>
              <w:t xml:space="preserve">]. </w:t>
            </w:r>
            <w:r w:rsidR="008D298A" w:rsidRPr="0044682E">
              <w:rPr>
                <w:rFonts w:cs="Arial"/>
                <w:b/>
              </w:rPr>
              <w:t>This may include</w:t>
            </w:r>
            <w:r w:rsidR="00DE43C9">
              <w:rPr>
                <w:rFonts w:cs="Arial"/>
                <w:b/>
              </w:rPr>
              <w:t>:</w:t>
            </w:r>
          </w:p>
          <w:p w14:paraId="26A221F4" w14:textId="77777777" w:rsidR="00EE45F7" w:rsidRDefault="008D298A" w:rsidP="00EE45F7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jc w:val="left"/>
              <w:rPr>
                <w:rFonts w:cs="Arial"/>
                <w:b/>
              </w:rPr>
            </w:pPr>
            <w:r w:rsidRPr="00EE45F7">
              <w:rPr>
                <w:rFonts w:cs="Arial"/>
                <w:b/>
              </w:rPr>
              <w:t>imprisonment</w:t>
            </w:r>
            <w:r w:rsidR="00EE45F7">
              <w:rPr>
                <w:rFonts w:cs="Arial"/>
                <w:b/>
              </w:rPr>
              <w:t>;</w:t>
            </w:r>
          </w:p>
          <w:p w14:paraId="5A93C0BF" w14:textId="77777777" w:rsidR="00EE45F7" w:rsidRDefault="008D298A" w:rsidP="00EE45F7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jc w:val="left"/>
              <w:rPr>
                <w:rFonts w:cs="Arial"/>
                <w:b/>
              </w:rPr>
            </w:pPr>
            <w:r w:rsidRPr="00EE45F7">
              <w:rPr>
                <w:rFonts w:cs="Arial"/>
                <w:b/>
              </w:rPr>
              <w:t>disqualification or suspension of your driver’s licence or learner’s permit</w:t>
            </w:r>
            <w:r w:rsidR="00EE45F7">
              <w:rPr>
                <w:rFonts w:cs="Arial"/>
                <w:b/>
              </w:rPr>
              <w:t>;</w:t>
            </w:r>
          </w:p>
          <w:p w14:paraId="7685CAF7" w14:textId="77777777" w:rsidR="00EE45F7" w:rsidRDefault="008D298A" w:rsidP="00EE45F7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jc w:val="left"/>
              <w:rPr>
                <w:rFonts w:cs="Arial"/>
                <w:b/>
              </w:rPr>
            </w:pPr>
            <w:r w:rsidRPr="00EE45F7">
              <w:rPr>
                <w:rFonts w:cs="Arial"/>
                <w:b/>
              </w:rPr>
              <w:t>an order for compensation and/or forfeiture</w:t>
            </w:r>
            <w:r w:rsidR="00EE45F7">
              <w:rPr>
                <w:rFonts w:cs="Arial"/>
                <w:b/>
              </w:rPr>
              <w:t>;</w:t>
            </w:r>
          </w:p>
          <w:p w14:paraId="559F8391" w14:textId="30F4F721" w:rsidR="00DE43C9" w:rsidRPr="002F1A88" w:rsidRDefault="00DE43C9" w:rsidP="00EE45F7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jc w:val="left"/>
              <w:rPr>
                <w:rFonts w:cs="Arial"/>
                <w:b/>
              </w:rPr>
            </w:pPr>
            <w:r w:rsidRPr="00EE45F7">
              <w:rPr>
                <w:rFonts w:cs="Arial"/>
                <w:b/>
              </w:rPr>
              <w:t xml:space="preserve">your being sentenced on the basis that you have been previously convicted of </w:t>
            </w:r>
            <w:r w:rsidR="007B4C8B" w:rsidRPr="00EE45F7">
              <w:rPr>
                <w:rFonts w:cs="Arial"/>
                <w:b/>
              </w:rPr>
              <w:t>a like</w:t>
            </w:r>
            <w:r w:rsidRPr="00EE45F7">
              <w:rPr>
                <w:rFonts w:cs="Arial"/>
                <w:b/>
              </w:rPr>
              <w:t xml:space="preserve"> offence</w:t>
            </w:r>
          </w:p>
          <w:p w14:paraId="4F047A9D" w14:textId="77777777" w:rsidR="00DE43C9" w:rsidRDefault="00DE43C9" w:rsidP="00DE43C9">
            <w:pPr>
              <w:pStyle w:val="ListParagraph"/>
              <w:spacing w:line="276" w:lineRule="auto"/>
              <w:ind w:left="360"/>
              <w:jc w:val="left"/>
              <w:rPr>
                <w:rFonts w:cs="Arial"/>
              </w:rPr>
            </w:pPr>
          </w:p>
          <w:p w14:paraId="6F416FA1" w14:textId="0070B147" w:rsidR="008D298A" w:rsidRDefault="00EE56F5" w:rsidP="00693707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 you wish to apply to set aside the conviction or make submissions on penalty, y</w:t>
            </w:r>
            <w:r w:rsidR="008D298A" w:rsidRPr="0044682E">
              <w:rPr>
                <w:rFonts w:cs="Arial"/>
              </w:rPr>
              <w:t xml:space="preserve">ou </w:t>
            </w:r>
            <w:r w:rsidR="008D298A" w:rsidRPr="0044682E">
              <w:rPr>
                <w:rFonts w:cs="Arial"/>
                <w:b/>
              </w:rPr>
              <w:t>must</w:t>
            </w:r>
            <w:r w:rsidR="008D298A" w:rsidRPr="0044682E">
              <w:rPr>
                <w:rFonts w:cs="Arial"/>
              </w:rPr>
              <w:t xml:space="preserve"> attend the hearing or have a solicitor attend for you. You and your solicitor have the right to appear before the Court to make submissions on the question of penalty.</w:t>
            </w:r>
          </w:p>
          <w:p w14:paraId="47B54461" w14:textId="576EC948" w:rsidR="00EB5B80" w:rsidRPr="0044682E" w:rsidRDefault="00EB5B80" w:rsidP="00693707">
            <w:pPr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>Next section should be displayed if first option above (imprisonment) displayed</w:t>
            </w:r>
          </w:p>
          <w:p w14:paraId="758335F0" w14:textId="4E29ECF5" w:rsidR="008D298A" w:rsidRPr="00EB5B80" w:rsidRDefault="008D298A" w:rsidP="002F1A88">
            <w:pPr>
              <w:pStyle w:val="ListParagraph"/>
              <w:numPr>
                <w:ilvl w:val="0"/>
                <w:numId w:val="31"/>
              </w:numPr>
              <w:spacing w:line="276" w:lineRule="auto"/>
              <w:jc w:val="left"/>
              <w:rPr>
                <w:rFonts w:cs="Arial"/>
              </w:rPr>
            </w:pPr>
            <w:r w:rsidRPr="00EB5B80">
              <w:rPr>
                <w:rFonts w:cs="Arial"/>
              </w:rPr>
              <w:t>If you fail to attend, the Court may:</w:t>
            </w:r>
          </w:p>
          <w:p w14:paraId="45B92DD3" w14:textId="34898B6D" w:rsidR="008D298A" w:rsidRPr="0044682E" w:rsidRDefault="008D298A" w:rsidP="00EB5B80">
            <w:pPr>
              <w:pStyle w:val="ListParagraph"/>
              <w:numPr>
                <w:ilvl w:val="0"/>
                <w:numId w:val="26"/>
              </w:numPr>
              <w:spacing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44682E">
              <w:rPr>
                <w:rFonts w:cs="Arial"/>
                <w:b/>
              </w:rPr>
              <w:t>proceed in your absence</w:t>
            </w:r>
            <w:r w:rsidRPr="0044682E">
              <w:rPr>
                <w:rFonts w:cs="Arial"/>
              </w:rPr>
              <w:t>, or</w:t>
            </w:r>
          </w:p>
          <w:p w14:paraId="6174A959" w14:textId="0BA55D49" w:rsidR="00EB5B80" w:rsidRDefault="008D298A" w:rsidP="00EB5B80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 xml:space="preserve">issue a </w:t>
            </w:r>
            <w:r w:rsidRPr="0044682E">
              <w:rPr>
                <w:rFonts w:cs="Arial"/>
                <w:b/>
              </w:rPr>
              <w:t>warrant for your arrest</w:t>
            </w:r>
            <w:r w:rsidRPr="0044682E">
              <w:rPr>
                <w:rFonts w:cs="Arial"/>
              </w:rPr>
              <w:t>.</w:t>
            </w:r>
          </w:p>
          <w:p w14:paraId="1C767881" w14:textId="77777777" w:rsidR="00EB5B80" w:rsidRDefault="00EB5B80" w:rsidP="00EB5B80">
            <w:pPr>
              <w:spacing w:after="120" w:line="276" w:lineRule="auto"/>
              <w:jc w:val="left"/>
              <w:rPr>
                <w:rFonts w:cs="Arial"/>
                <w:b/>
                <w:bCs/>
                <w:iCs/>
                <w:sz w:val="12"/>
                <w:szCs w:val="12"/>
              </w:rPr>
            </w:pPr>
          </w:p>
          <w:p w14:paraId="37511E57" w14:textId="20CABB0C" w:rsidR="00EB5B80" w:rsidRPr="0044682E" w:rsidRDefault="00EB5B80" w:rsidP="00EB5B80">
            <w:pPr>
              <w:spacing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>Next section should be displayed if first option above (imprisonment) NOT displayed</w:t>
            </w:r>
          </w:p>
          <w:p w14:paraId="2B4B4B02" w14:textId="20A91B4F" w:rsidR="00EB5B80" w:rsidRPr="002F1A88" w:rsidRDefault="00EB5B80" w:rsidP="00EB5B80">
            <w:pPr>
              <w:pStyle w:val="ListParagraph"/>
              <w:numPr>
                <w:ilvl w:val="0"/>
                <w:numId w:val="31"/>
              </w:numPr>
              <w:spacing w:line="276" w:lineRule="auto"/>
              <w:jc w:val="left"/>
              <w:rPr>
                <w:rFonts w:cs="Arial"/>
              </w:rPr>
            </w:pPr>
            <w:r w:rsidRPr="00EB5B80">
              <w:rPr>
                <w:rFonts w:cs="Arial"/>
              </w:rPr>
              <w:t>If you fail to attend, the Court may</w:t>
            </w:r>
            <w:r>
              <w:rPr>
                <w:rFonts w:cs="Arial"/>
              </w:rPr>
              <w:t xml:space="preserve"> </w:t>
            </w:r>
            <w:r w:rsidRPr="002F1A88">
              <w:rPr>
                <w:rFonts w:cs="Arial"/>
                <w:b/>
              </w:rPr>
              <w:t>proceed in your absence</w:t>
            </w:r>
          </w:p>
          <w:p w14:paraId="12895BCD" w14:textId="77777777" w:rsidR="00EB5B80" w:rsidRPr="00EB5B80" w:rsidRDefault="00EB5B80" w:rsidP="002F1A88">
            <w:pPr>
              <w:pStyle w:val="ListParagraph"/>
              <w:spacing w:line="276" w:lineRule="auto"/>
              <w:ind w:left="360"/>
              <w:jc w:val="left"/>
              <w:rPr>
                <w:rFonts w:cs="Arial"/>
              </w:rPr>
            </w:pPr>
          </w:p>
          <w:p w14:paraId="1CCA1CE6" w14:textId="77777777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>If you are unable to attend on the hearing date set out above, you should contact the Registry of the [</w:t>
            </w:r>
            <w:r w:rsidRPr="0044682E">
              <w:rPr>
                <w:rFonts w:cs="Arial"/>
                <w:i/>
              </w:rPr>
              <w:t>Court</w:t>
            </w:r>
            <w:r w:rsidRPr="0044682E">
              <w:rPr>
                <w:rFonts w:cs="Arial"/>
              </w:rPr>
              <w:t>] to request another hearing date to be fixed. This can be done by calling [</w:t>
            </w:r>
            <w:r w:rsidRPr="0044682E">
              <w:rPr>
                <w:rFonts w:cs="Arial"/>
                <w:i/>
              </w:rPr>
              <w:t>phone no of Court</w:t>
            </w:r>
            <w:r w:rsidRPr="0044682E">
              <w:rPr>
                <w:rFonts w:cs="Arial"/>
              </w:rPr>
              <w:t>] or by emailing [</w:t>
            </w:r>
            <w:r w:rsidRPr="0044682E">
              <w:rPr>
                <w:rFonts w:cs="Arial"/>
                <w:i/>
              </w:rPr>
              <w:t>email of Court</w:t>
            </w:r>
            <w:r w:rsidRPr="0044682E">
              <w:rPr>
                <w:rFonts w:cs="Arial"/>
              </w:rPr>
              <w:t>].</w:t>
            </w:r>
          </w:p>
          <w:p w14:paraId="30B2424C" w14:textId="08D1146C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 xml:space="preserve">If you need an interpreter, you must advise the Court immediately of the language and </w:t>
            </w:r>
            <w:r w:rsidR="00A354C0">
              <w:rPr>
                <w:rFonts w:cs="Arial"/>
              </w:rPr>
              <w:t xml:space="preserve">any </w:t>
            </w:r>
            <w:r w:rsidRPr="0044682E">
              <w:rPr>
                <w:rFonts w:cs="Arial"/>
              </w:rPr>
              <w:t>dialect you require.</w:t>
            </w:r>
          </w:p>
        </w:tc>
      </w:tr>
    </w:tbl>
    <w:p w14:paraId="16C5056F" w14:textId="1C519A80" w:rsidR="008D298A" w:rsidRPr="0044682E" w:rsidRDefault="008D298A" w:rsidP="00693707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5A52" w:rsidRPr="0044682E" w14:paraId="610E3D28" w14:textId="77777777" w:rsidTr="00340623">
        <w:tc>
          <w:tcPr>
            <w:tcW w:w="10457" w:type="dxa"/>
          </w:tcPr>
          <w:p w14:paraId="52D2ACD3" w14:textId="7E4D91D5" w:rsidR="008D298A" w:rsidRPr="0044682E" w:rsidRDefault="00EE56F5" w:rsidP="00693707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 to set aside conviction</w:t>
            </w:r>
          </w:p>
          <w:p w14:paraId="783FFA28" w14:textId="63CA5AAD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 xml:space="preserve">Section 76A of the </w:t>
            </w:r>
            <w:r w:rsidRPr="0044682E">
              <w:rPr>
                <w:rFonts w:cs="Arial"/>
                <w:i/>
              </w:rPr>
              <w:t>Criminal Procedure Act 1921</w:t>
            </w:r>
            <w:r w:rsidRPr="0044682E">
              <w:rPr>
                <w:rFonts w:cs="Arial"/>
              </w:rPr>
              <w:t xml:space="preserve"> provides that the Court may, on its own initiative or on the application of any party, set aside a conviction or order provided the Court is satisfied that:</w:t>
            </w:r>
          </w:p>
          <w:p w14:paraId="496CDA2D" w14:textId="77777777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>(a)</w:t>
            </w:r>
            <w:r w:rsidRPr="0044682E">
              <w:rPr>
                <w:rFonts w:cs="Arial"/>
              </w:rPr>
              <w:tab/>
              <w:t>the parties consent to have it set aside; or</w:t>
            </w:r>
          </w:p>
          <w:p w14:paraId="6FFABDBF" w14:textId="77777777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>(b)</w:t>
            </w:r>
            <w:r w:rsidRPr="0044682E">
              <w:rPr>
                <w:rFonts w:cs="Arial"/>
              </w:rPr>
              <w:tab/>
              <w:t>the conviction or order was made in error; or</w:t>
            </w:r>
          </w:p>
          <w:p w14:paraId="014E3A95" w14:textId="77777777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>(c)</w:t>
            </w:r>
            <w:r w:rsidRPr="0044682E">
              <w:rPr>
                <w:rFonts w:cs="Arial"/>
              </w:rPr>
              <w:tab/>
              <w:t>it is in the interest of justice to set aside the conviction or order.</w:t>
            </w:r>
          </w:p>
          <w:p w14:paraId="312A12B6" w14:textId="00E09C8F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>If the Court sets aside a conviction, the Court will arrange to re-hear the proceeding.</w:t>
            </w:r>
          </w:p>
          <w:p w14:paraId="361CACE1" w14:textId="43E2C27C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  <w:i/>
              </w:rPr>
            </w:pPr>
            <w:r w:rsidRPr="0044682E">
              <w:rPr>
                <w:rFonts w:cs="Arial"/>
              </w:rPr>
              <w:t xml:space="preserve">If you wish to make an application </w:t>
            </w:r>
            <w:r w:rsidR="003400A9">
              <w:rPr>
                <w:rFonts w:cs="Arial"/>
              </w:rPr>
              <w:t>to set aside the conviction</w:t>
            </w:r>
            <w:r w:rsidRPr="0044682E">
              <w:rPr>
                <w:rFonts w:cs="Arial"/>
              </w:rPr>
              <w:t xml:space="preserve">, you must complete a </w:t>
            </w:r>
            <w:r w:rsidR="0044682E" w:rsidRPr="0044682E">
              <w:rPr>
                <w:rFonts w:cs="Arial"/>
              </w:rPr>
              <w:t>Form 171B</w:t>
            </w:r>
            <w:r w:rsidRPr="0044682E">
              <w:rPr>
                <w:rFonts w:cs="Arial"/>
              </w:rPr>
              <w:t xml:space="preserve"> </w:t>
            </w:r>
            <w:r w:rsidR="00A354C0">
              <w:rPr>
                <w:rFonts w:cs="Arial"/>
              </w:rPr>
              <w:t xml:space="preserve">interlocutory </w:t>
            </w:r>
            <w:r w:rsidRPr="0044682E">
              <w:rPr>
                <w:rFonts w:cs="Arial"/>
              </w:rPr>
              <w:t>Application for Set Aside and Re</w:t>
            </w:r>
            <w:r w:rsidRPr="0044682E">
              <w:rPr>
                <w:rFonts w:cs="Arial"/>
              </w:rPr>
              <w:noBreakHyphen/>
              <w:t xml:space="preserve">hearing </w:t>
            </w:r>
            <w:r w:rsidRPr="0044682E">
              <w:rPr>
                <w:rFonts w:cs="Arial"/>
                <w:b/>
              </w:rPr>
              <w:t xml:space="preserve">within 14 days of receiving notice of this </w:t>
            </w:r>
            <w:r w:rsidR="006C765B" w:rsidRPr="0044682E">
              <w:rPr>
                <w:rFonts w:cs="Arial"/>
                <w:b/>
              </w:rPr>
              <w:t>o</w:t>
            </w:r>
            <w:r w:rsidRPr="0044682E">
              <w:rPr>
                <w:rFonts w:cs="Arial"/>
                <w:b/>
              </w:rPr>
              <w:t>rder</w:t>
            </w:r>
            <w:r w:rsidRPr="0044682E">
              <w:rPr>
                <w:rFonts w:cs="Arial"/>
              </w:rPr>
              <w:t xml:space="preserve">. This can be done through the CourtSA portal or by returning the completed Form to the Registry of the Court within this time period. </w:t>
            </w:r>
          </w:p>
          <w:p w14:paraId="05211423" w14:textId="721E28AD" w:rsidR="008D298A" w:rsidRPr="0044682E" w:rsidRDefault="008D298A" w:rsidP="00693707">
            <w:pPr>
              <w:spacing w:after="120" w:line="276" w:lineRule="auto"/>
              <w:jc w:val="left"/>
              <w:rPr>
                <w:rFonts w:cs="Arial"/>
              </w:rPr>
            </w:pPr>
            <w:r w:rsidRPr="0044682E">
              <w:rPr>
                <w:rFonts w:cs="Arial"/>
              </w:rPr>
              <w:t xml:space="preserve">You or your solicitor must then attend the hearing at the date, time and location set out at the top of this Form to support your </w:t>
            </w:r>
            <w:r w:rsidR="00A07FE5">
              <w:rPr>
                <w:rFonts w:cs="Arial"/>
              </w:rPr>
              <w:t>a</w:t>
            </w:r>
            <w:r w:rsidRPr="0044682E">
              <w:rPr>
                <w:rFonts w:cs="Arial"/>
              </w:rPr>
              <w:t>pplication.</w:t>
            </w:r>
          </w:p>
        </w:tc>
      </w:tr>
    </w:tbl>
    <w:p w14:paraId="01A0E97C" w14:textId="7A4D1B71" w:rsidR="008D298A" w:rsidRPr="0044682E" w:rsidRDefault="008D298A" w:rsidP="00693707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D298A" w:rsidRPr="002A114A" w14:paraId="7AE291C7" w14:textId="77777777" w:rsidTr="00340623">
        <w:tc>
          <w:tcPr>
            <w:tcW w:w="10457" w:type="dxa"/>
          </w:tcPr>
          <w:p w14:paraId="67DCD8F9" w14:textId="77777777" w:rsidR="008D298A" w:rsidRPr="0044682E" w:rsidRDefault="008D298A" w:rsidP="00693707">
            <w:pPr>
              <w:overflowPunct/>
              <w:autoSpaceDE/>
              <w:autoSpaceDN/>
              <w:adjustRightInd/>
              <w:spacing w:before="120" w:after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44682E">
              <w:rPr>
                <w:rFonts w:cs="Arial"/>
                <w:b/>
              </w:rPr>
              <w:t>Service</w:t>
            </w:r>
          </w:p>
          <w:p w14:paraId="336D159A" w14:textId="15BBF7E3" w:rsidR="008D298A" w:rsidRPr="002A114A" w:rsidRDefault="008D298A" w:rsidP="0069370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sz w:val="22"/>
              </w:rPr>
            </w:pPr>
            <w:r w:rsidRPr="0044682E">
              <w:rPr>
                <w:rFonts w:cs="Arial"/>
              </w:rPr>
              <w:t xml:space="preserve">This notice must be served by the prosecution on the </w:t>
            </w:r>
            <w:r w:rsidR="00391DB4" w:rsidRPr="0044682E">
              <w:rPr>
                <w:rFonts w:cs="Arial"/>
              </w:rPr>
              <w:t>[</w:t>
            </w:r>
            <w:r w:rsidR="00965A52" w:rsidRPr="0044682E">
              <w:rPr>
                <w:rFonts w:cs="Arial"/>
                <w:i/>
              </w:rPr>
              <w:t>Defendant</w:t>
            </w:r>
            <w:r w:rsidR="00391DB4" w:rsidRPr="0044682E">
              <w:rPr>
                <w:rFonts w:cs="Arial"/>
                <w:i/>
              </w:rPr>
              <w:t>/Youth</w:t>
            </w:r>
            <w:r w:rsidR="00391DB4" w:rsidRPr="0044682E">
              <w:rPr>
                <w:rFonts w:cs="Arial"/>
              </w:rPr>
              <w:t>]</w:t>
            </w:r>
            <w:r w:rsidRPr="0044682E">
              <w:rPr>
                <w:rFonts w:cs="Arial"/>
              </w:rPr>
              <w:t xml:space="preserve"> personally in accordance with s</w:t>
            </w:r>
            <w:r w:rsidR="00862CC9" w:rsidRPr="0044682E">
              <w:rPr>
                <w:rFonts w:cs="Arial"/>
              </w:rPr>
              <w:t>ection</w:t>
            </w:r>
            <w:r w:rsidRPr="0044682E">
              <w:rPr>
                <w:rFonts w:cs="Arial"/>
              </w:rPr>
              <w:t xml:space="preserve"> 27C(3)(f) of the </w:t>
            </w:r>
            <w:r w:rsidRPr="0044682E">
              <w:rPr>
                <w:rFonts w:cs="Arial"/>
                <w:i/>
              </w:rPr>
              <w:t>Criminal Procedure Act 1921</w:t>
            </w:r>
            <w:r w:rsidRPr="0044682E">
              <w:rPr>
                <w:rFonts w:cs="Arial"/>
              </w:rPr>
              <w:t xml:space="preserve"> </w:t>
            </w:r>
            <w:r w:rsidR="00A244A9" w:rsidRPr="00C9291A">
              <w:rPr>
                <w:rFonts w:cs="Arial"/>
              </w:rPr>
              <w:t xml:space="preserve">no later than </w:t>
            </w:r>
            <w:r w:rsidR="00A244A9">
              <w:rPr>
                <w:rFonts w:cs="Arial"/>
              </w:rPr>
              <w:t>14</w:t>
            </w:r>
            <w:r w:rsidR="00A244A9" w:rsidRPr="00C9291A">
              <w:rPr>
                <w:rFonts w:cs="Arial"/>
              </w:rPr>
              <w:t xml:space="preserve"> days before the hearing</w:t>
            </w:r>
            <w:r w:rsidRPr="0044682E">
              <w:rPr>
                <w:rFonts w:cs="Arial"/>
              </w:rPr>
              <w:t>.</w:t>
            </w:r>
          </w:p>
        </w:tc>
      </w:tr>
    </w:tbl>
    <w:p w14:paraId="7B22BE2D" w14:textId="77777777" w:rsidR="008D298A" w:rsidRPr="00890B08" w:rsidRDefault="008D298A" w:rsidP="001C1FF9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8D298A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3555" w14:textId="77777777" w:rsidR="00CB6CEB" w:rsidRDefault="00CB6CEB" w:rsidP="00F437EE">
      <w:r>
        <w:separator/>
      </w:r>
    </w:p>
  </w:endnote>
  <w:endnote w:type="continuationSeparator" w:id="0">
    <w:p w14:paraId="513F4162" w14:textId="77777777" w:rsidR="00CB6CEB" w:rsidRDefault="00CB6CE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74FC" w14:textId="77777777" w:rsidR="00CB6CEB" w:rsidRDefault="00CB6CEB" w:rsidP="00F437EE">
      <w:r>
        <w:separator/>
      </w:r>
    </w:p>
  </w:footnote>
  <w:footnote w:type="continuationSeparator" w:id="0">
    <w:p w14:paraId="3910E3AD" w14:textId="77777777" w:rsidR="00CB6CEB" w:rsidRDefault="00CB6CE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27C2EC7" w:rsidR="00F42926" w:rsidRDefault="001C1FF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91CAD">
      <w:rPr>
        <w:lang w:val="en-US"/>
      </w:rPr>
      <w:t>131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357F883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91CAD">
      <w:rPr>
        <w:lang w:val="en-US"/>
      </w:rPr>
      <w:t>131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09908511" w14:textId="77777777" w:rsidR="00C4745E" w:rsidRPr="00C4745E" w:rsidRDefault="00C4745E" w:rsidP="00C4745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27FEE"/>
    <w:multiLevelType w:val="hybridMultilevel"/>
    <w:tmpl w:val="5C242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125"/>
    <w:multiLevelType w:val="hybridMultilevel"/>
    <w:tmpl w:val="296EE16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87F13"/>
    <w:multiLevelType w:val="hybridMultilevel"/>
    <w:tmpl w:val="BAF26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F1303"/>
    <w:multiLevelType w:val="hybridMultilevel"/>
    <w:tmpl w:val="2EC0072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503DB"/>
    <w:multiLevelType w:val="hybridMultilevel"/>
    <w:tmpl w:val="3454F8A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E73CA9"/>
    <w:multiLevelType w:val="hybridMultilevel"/>
    <w:tmpl w:val="E1122C82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5"/>
  </w:num>
  <w:num w:numId="5">
    <w:abstractNumId w:val="6"/>
  </w:num>
  <w:num w:numId="6">
    <w:abstractNumId w:val="15"/>
  </w:num>
  <w:num w:numId="7">
    <w:abstractNumId w:val="14"/>
  </w:num>
  <w:num w:numId="8">
    <w:abstractNumId w:val="17"/>
  </w:num>
  <w:num w:numId="9">
    <w:abstractNumId w:val="27"/>
  </w:num>
  <w:num w:numId="10">
    <w:abstractNumId w:val="18"/>
  </w:num>
  <w:num w:numId="11">
    <w:abstractNumId w:val="30"/>
  </w:num>
  <w:num w:numId="12">
    <w:abstractNumId w:val="11"/>
  </w:num>
  <w:num w:numId="13">
    <w:abstractNumId w:val="0"/>
  </w:num>
  <w:num w:numId="14">
    <w:abstractNumId w:val="22"/>
  </w:num>
  <w:num w:numId="15">
    <w:abstractNumId w:val="12"/>
  </w:num>
  <w:num w:numId="16">
    <w:abstractNumId w:val="9"/>
  </w:num>
  <w:num w:numId="17">
    <w:abstractNumId w:val="1"/>
  </w:num>
  <w:num w:numId="18">
    <w:abstractNumId w:val="26"/>
  </w:num>
  <w:num w:numId="19">
    <w:abstractNumId w:val="5"/>
  </w:num>
  <w:num w:numId="20">
    <w:abstractNumId w:val="2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4"/>
  </w:num>
  <w:num w:numId="26">
    <w:abstractNumId w:val="2"/>
  </w:num>
  <w:num w:numId="27">
    <w:abstractNumId w:val="3"/>
  </w:num>
  <w:num w:numId="28">
    <w:abstractNumId w:val="23"/>
  </w:num>
  <w:num w:numId="29">
    <w:abstractNumId w:val="21"/>
  </w:num>
  <w:num w:numId="30">
    <w:abstractNumId w:val="28"/>
  </w:num>
  <w:num w:numId="3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trackRevisions/>
  <w:defaultTabStop w:val="567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06B4184-ACB9-455E-8B5F-39A65422D376}"/>
    <w:docVar w:name="dgnword-eventsink" w:val="992519392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1E6D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0A8D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9ED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FF9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1A88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2F7E69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192B"/>
    <w:rsid w:val="00335E0C"/>
    <w:rsid w:val="00336662"/>
    <w:rsid w:val="0033674D"/>
    <w:rsid w:val="00337B76"/>
    <w:rsid w:val="003400A9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1DB4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17E8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682E"/>
    <w:rsid w:val="0044713C"/>
    <w:rsid w:val="004515F2"/>
    <w:rsid w:val="00453481"/>
    <w:rsid w:val="00456C75"/>
    <w:rsid w:val="00460E0A"/>
    <w:rsid w:val="00463403"/>
    <w:rsid w:val="00466B49"/>
    <w:rsid w:val="00466FEF"/>
    <w:rsid w:val="00470ABA"/>
    <w:rsid w:val="0047173A"/>
    <w:rsid w:val="004727D9"/>
    <w:rsid w:val="0047651A"/>
    <w:rsid w:val="0047724D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79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1CAD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3E5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47BBB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3707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65B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4D48"/>
    <w:rsid w:val="007254E9"/>
    <w:rsid w:val="0072676F"/>
    <w:rsid w:val="007277BE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B8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4C8B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CC9"/>
    <w:rsid w:val="00863C1F"/>
    <w:rsid w:val="008665F8"/>
    <w:rsid w:val="008709B6"/>
    <w:rsid w:val="008747BE"/>
    <w:rsid w:val="008750F9"/>
    <w:rsid w:val="00877718"/>
    <w:rsid w:val="0087791F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298A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A52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07FE5"/>
    <w:rsid w:val="00A12EAE"/>
    <w:rsid w:val="00A1441C"/>
    <w:rsid w:val="00A172DE"/>
    <w:rsid w:val="00A17A7E"/>
    <w:rsid w:val="00A21DC7"/>
    <w:rsid w:val="00A22D31"/>
    <w:rsid w:val="00A244A9"/>
    <w:rsid w:val="00A25A54"/>
    <w:rsid w:val="00A262EF"/>
    <w:rsid w:val="00A268AF"/>
    <w:rsid w:val="00A26CDE"/>
    <w:rsid w:val="00A34724"/>
    <w:rsid w:val="00A354C0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A779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45E"/>
    <w:rsid w:val="00C47671"/>
    <w:rsid w:val="00C50D38"/>
    <w:rsid w:val="00C57AF8"/>
    <w:rsid w:val="00C603F4"/>
    <w:rsid w:val="00C61242"/>
    <w:rsid w:val="00C62B87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6CEB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2E58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0CE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781"/>
    <w:rsid w:val="00D8606B"/>
    <w:rsid w:val="00D8712B"/>
    <w:rsid w:val="00D9124E"/>
    <w:rsid w:val="00D921DC"/>
    <w:rsid w:val="00D92682"/>
    <w:rsid w:val="00D946C1"/>
    <w:rsid w:val="00D94EEC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935"/>
    <w:rsid w:val="00DD29D6"/>
    <w:rsid w:val="00DD5E7A"/>
    <w:rsid w:val="00DD7CB3"/>
    <w:rsid w:val="00DD7FF0"/>
    <w:rsid w:val="00DE05B0"/>
    <w:rsid w:val="00DE0CAB"/>
    <w:rsid w:val="00DE12DA"/>
    <w:rsid w:val="00DE2E67"/>
    <w:rsid w:val="00DE43C9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33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5B80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45F7"/>
    <w:rsid w:val="00EE4987"/>
    <w:rsid w:val="00EE56F5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6E16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19EBAA0-D49F-4BF2-896B-16E4A9AA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131 Notice to Defendant of Penalty Hearing</dc:title>
  <dc:subject/>
  <dc:creator>Courts Administration Authority</dc:creator>
  <cp:keywords>criminal; Forms</cp:keywords>
  <dc:description/>
  <cp:lastModifiedBy/>
  <cp:revision>1</cp:revision>
  <dcterms:created xsi:type="dcterms:W3CDTF">2022-02-23T06:30:00Z</dcterms:created>
  <dcterms:modified xsi:type="dcterms:W3CDTF">2022-07-08T00:20:00Z</dcterms:modified>
</cp:coreProperties>
</file>